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99" w:rsidRDefault="00EA2299">
      <w:pPr>
        <w:jc w:val="center"/>
        <w:rPr>
          <w:b/>
          <w:bCs/>
          <w:sz w:val="28"/>
        </w:rPr>
      </w:pPr>
    </w:p>
    <w:p w:rsidR="00163BC5" w:rsidRDefault="00163BC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Richtwerte für Raumtemperaturen in Schulen</w:t>
      </w:r>
      <w:bookmarkStart w:id="0" w:name="_GoBack"/>
      <w:bookmarkEnd w:id="0"/>
    </w:p>
    <w:p w:rsidR="00163BC5" w:rsidRDefault="00163BC5">
      <w:pPr>
        <w:rPr>
          <w:sz w:val="22"/>
        </w:rPr>
      </w:pPr>
    </w:p>
    <w:tbl>
      <w:tblPr>
        <w:tblStyle w:val="Tabellenraster"/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2988"/>
        <w:gridCol w:w="6222"/>
      </w:tblGrid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23°C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Arzt- oder Untersuchungszimmer, Umkleideräume, Wasch- und Duschräume</w:t>
            </w:r>
          </w:p>
        </w:tc>
      </w:tr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20°C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Unterrichtsräume, Verwaltungsräume, Lehrerräume, Bibliotheken, Aulen als Mehrzweckräume</w:t>
            </w:r>
          </w:p>
        </w:tc>
      </w:tr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18°C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Garderoben, Pausenhallen und -bereiche, Gänge als Aufenthalts</w:t>
            </w:r>
            <w:r>
              <w:rPr>
                <w:rFonts w:ascii="ArialMT" w:hAnsi="ArialMT" w:cs="ArialMT"/>
                <w:sz w:val="20"/>
                <w:lang w:val="de-AT" w:eastAsia="de-AT"/>
              </w:rPr>
              <w:t>-</w:t>
            </w:r>
            <w:r w:rsidRPr="00EA2299">
              <w:rPr>
                <w:rFonts w:ascii="ArialMT" w:hAnsi="ArialMT" w:cs="ArialMT"/>
                <w:sz w:val="20"/>
                <w:lang w:val="de-AT" w:eastAsia="de-AT"/>
              </w:rPr>
              <w:t>bereich, WC</w:t>
            </w:r>
            <w:r>
              <w:rPr>
                <w:rFonts w:ascii="ArialMT" w:hAnsi="ArialMT" w:cs="ArialMT"/>
                <w:sz w:val="20"/>
                <w:lang w:val="de-AT" w:eastAsia="de-AT"/>
              </w:rPr>
              <w:t>-</w:t>
            </w:r>
            <w:r w:rsidRPr="00EA2299">
              <w:rPr>
                <w:rFonts w:ascii="ArialMT" w:hAnsi="ArialMT" w:cs="ArialMT"/>
                <w:sz w:val="20"/>
                <w:lang w:val="de-AT" w:eastAsia="de-AT"/>
              </w:rPr>
              <w:t>Anlagen, Turnsäle, Lehrküchen</w:t>
            </w:r>
          </w:p>
        </w:tc>
      </w:tr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15°C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Gänge (wenn keine Pausenbereiche), Windfang</w:t>
            </w:r>
          </w:p>
        </w:tc>
      </w:tr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10°C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Fluchtstiegenhaus (abgeschlossen)</w:t>
            </w:r>
          </w:p>
        </w:tc>
      </w:tr>
      <w:tr w:rsidR="00EA2299" w:rsidRPr="00EA2299" w:rsidTr="00EA2299">
        <w:trPr>
          <w:jc w:val="center"/>
        </w:trPr>
        <w:tc>
          <w:tcPr>
            <w:tcW w:w="2988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rFonts w:ascii="ArialMT" w:hAnsi="ArialMT" w:cs="ArialMT"/>
                <w:sz w:val="20"/>
                <w:lang w:val="de-AT" w:eastAsia="de-AT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Projektspezifisch festzulegen</w:t>
            </w:r>
          </w:p>
        </w:tc>
        <w:tc>
          <w:tcPr>
            <w:tcW w:w="6222" w:type="dxa"/>
            <w:vAlign w:val="center"/>
          </w:tcPr>
          <w:p w:rsidR="00EA2299" w:rsidRPr="00EA2299" w:rsidRDefault="00EA2299" w:rsidP="00EA2299">
            <w:pPr>
              <w:overflowPunct/>
              <w:spacing w:before="40" w:after="40" w:line="240" w:lineRule="auto"/>
              <w:textAlignment w:val="auto"/>
              <w:rPr>
                <w:sz w:val="22"/>
              </w:rPr>
            </w:pPr>
            <w:r w:rsidRPr="00EA2299">
              <w:rPr>
                <w:rFonts w:ascii="ArialMT" w:hAnsi="ArialMT" w:cs="ArialMT"/>
                <w:sz w:val="20"/>
                <w:lang w:val="de-AT" w:eastAsia="de-AT"/>
              </w:rPr>
              <w:t>Werkstätten und Labors</w:t>
            </w:r>
          </w:p>
        </w:tc>
      </w:tr>
    </w:tbl>
    <w:p w:rsidR="002A3DFC" w:rsidRDefault="002A3DFC" w:rsidP="002A3DFC">
      <w:pPr>
        <w:pStyle w:val="Kopfzeile"/>
        <w:spacing w:before="120" w:line="200" w:lineRule="atLeast"/>
        <w:rPr>
          <w:sz w:val="16"/>
          <w:szCs w:val="16"/>
        </w:rPr>
      </w:pPr>
      <w:r w:rsidRPr="002A3DFC">
        <w:rPr>
          <w:sz w:val="16"/>
          <w:szCs w:val="16"/>
        </w:rPr>
        <w:t xml:space="preserve">Diese Temperaturen gelten als empfundene Raumtemperaturen, gemessen in 1,60 m bis 1,80 m Höhe über dem Fußboden und an der der Fensterwand </w:t>
      </w:r>
      <w:proofErr w:type="gramStart"/>
      <w:r w:rsidRPr="002A3DFC">
        <w:rPr>
          <w:sz w:val="16"/>
          <w:szCs w:val="16"/>
        </w:rPr>
        <w:t>gegenüberliegenden</w:t>
      </w:r>
      <w:proofErr w:type="gramEnd"/>
      <w:r w:rsidRPr="002A3DFC">
        <w:rPr>
          <w:sz w:val="16"/>
          <w:szCs w:val="16"/>
        </w:rPr>
        <w:t xml:space="preserve"> Wand.</w:t>
      </w:r>
      <w:r>
        <w:rPr>
          <w:sz w:val="16"/>
          <w:szCs w:val="16"/>
        </w:rPr>
        <w:t xml:space="preserve"> </w:t>
      </w:r>
    </w:p>
    <w:p w:rsidR="00EA2299" w:rsidRPr="002A3DFC" w:rsidRDefault="00EA2299" w:rsidP="002A3DFC">
      <w:pPr>
        <w:pStyle w:val="Kopfzeile"/>
        <w:spacing w:before="120" w:line="200" w:lineRule="atLeast"/>
        <w:rPr>
          <w:sz w:val="16"/>
          <w:szCs w:val="16"/>
        </w:rPr>
      </w:pPr>
    </w:p>
    <w:p w:rsidR="009C4801" w:rsidRPr="00D34D44" w:rsidRDefault="009C4801" w:rsidP="00D34D44">
      <w:pPr>
        <w:rPr>
          <w:b/>
          <w:bCs/>
        </w:rPr>
      </w:pPr>
      <w:r>
        <w:rPr>
          <w:b/>
          <w:bCs/>
        </w:rPr>
        <w:t>Anmerkung VKI:</w:t>
      </w:r>
      <w:r>
        <w:rPr>
          <w:b/>
          <w:bCs/>
        </w:rPr>
        <w:br/>
      </w:r>
      <w:r w:rsidRPr="009C4801">
        <w:t>je nach Behaglichkeit der Räume (z. B. Temperaturunterschied Lufttemperatur und Wände) können die o. g. Werte schwanken.</w:t>
      </w:r>
      <w:r>
        <w:br/>
      </w:r>
      <w:r w:rsidRPr="00D34D44">
        <w:rPr>
          <w:b/>
          <w:bCs/>
        </w:rPr>
        <w:t xml:space="preserve">Außerdem sind Frauen </w:t>
      </w:r>
      <w:r w:rsidR="00D34D44" w:rsidRPr="00D34D44">
        <w:rPr>
          <w:b/>
          <w:bCs/>
        </w:rPr>
        <w:t>meistens</w:t>
      </w:r>
      <w:r w:rsidRPr="00D34D44">
        <w:rPr>
          <w:b/>
          <w:bCs/>
        </w:rPr>
        <w:t xml:space="preserve"> etwas kälteempfindlicher </w:t>
      </w:r>
      <w:r w:rsidR="00D34D44" w:rsidRPr="00D34D44">
        <w:rPr>
          <w:b/>
          <w:bCs/>
        </w:rPr>
        <w:t>als Männer – dies kann u. a. durch Pulswärmer aus Wolle etwas ausgeglichen werden.</w:t>
      </w:r>
    </w:p>
    <w:p w:rsidR="009C4801" w:rsidRDefault="009C4801">
      <w:pPr>
        <w:rPr>
          <w:b/>
          <w:bCs/>
        </w:rPr>
      </w:pPr>
    </w:p>
    <w:p w:rsidR="00163BC5" w:rsidRDefault="00163BC5" w:rsidP="00EA2299">
      <w:r>
        <w:rPr>
          <w:b/>
          <w:bCs/>
        </w:rPr>
        <w:t xml:space="preserve">Quelle: </w:t>
      </w:r>
      <w:r w:rsidR="009828D2" w:rsidRPr="009828D2">
        <w:rPr>
          <w:bCs/>
        </w:rPr>
        <w:t>VKI</w:t>
      </w:r>
      <w:r w:rsidR="009828D2">
        <w:rPr>
          <w:b/>
          <w:bCs/>
        </w:rPr>
        <w:t xml:space="preserve"> </w:t>
      </w:r>
      <w:r w:rsidR="002A3DFC" w:rsidRPr="002A3DFC">
        <w:t xml:space="preserve">in Anlehnung an </w:t>
      </w:r>
      <w:r w:rsidR="009828D2">
        <w:t>ÖISS (</w:t>
      </w:r>
      <w:r w:rsidR="00EA2299">
        <w:t>Ökologische Schulbaukriterien</w:t>
      </w:r>
      <w:r w:rsidR="009828D2">
        <w:t xml:space="preserve">, </w:t>
      </w:r>
      <w:r w:rsidR="00EA2299">
        <w:t>20</w:t>
      </w:r>
      <w:r w:rsidR="009828D2">
        <w:t>12)</w:t>
      </w:r>
      <w:r w:rsidR="00EA2299">
        <w:t>.</w:t>
      </w:r>
    </w:p>
    <w:sectPr w:rsidR="00163BC5">
      <w:headerReference w:type="default" r:id="rId7"/>
      <w:headerReference w:type="first" r:id="rId8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13A" w:rsidRDefault="00E7513A">
      <w:r>
        <w:separator/>
      </w:r>
    </w:p>
  </w:endnote>
  <w:endnote w:type="continuationSeparator" w:id="0">
    <w:p w:rsidR="00E7513A" w:rsidRDefault="00E7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13A" w:rsidRDefault="00E7513A">
      <w:r>
        <w:separator/>
      </w:r>
    </w:p>
  </w:footnote>
  <w:footnote w:type="continuationSeparator" w:id="0">
    <w:p w:rsidR="00E7513A" w:rsidRDefault="00E75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99" w:rsidRDefault="00EA2299">
    <w:pPr>
      <w:pStyle w:val="Kopfzeile"/>
      <w:pBdr>
        <w:bottom w:val="single" w:sz="4" w:space="1" w:color="auto"/>
      </w:pBdr>
      <w:spacing w:after="0"/>
      <w:jc w:val="right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 w:rsidR="00621562">
        <w:rPr>
          <w:noProof/>
        </w:rPr>
        <w:t>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99" w:rsidRDefault="00EA2299" w:rsidP="00E34B14">
    <w:pPr>
      <w:pStyle w:val="Kopfzeile"/>
      <w:pBdr>
        <w:bottom w:val="single" w:sz="4" w:space="1" w:color="auto"/>
      </w:pBdr>
      <w:spacing w:after="0"/>
      <w:rPr>
        <w:sz w:val="16"/>
      </w:rPr>
    </w:pPr>
    <w:r>
      <w:rPr>
        <w:b/>
        <w:bCs/>
        <w:sz w:val="20"/>
      </w:rPr>
      <w:t>Energie- und Bauausführung</w:t>
    </w:r>
    <w:r>
      <w:rPr>
        <w:sz w:val="16"/>
      </w:rPr>
      <w:tab/>
    </w:r>
    <w:r w:rsidR="00110546" w:rsidRPr="00110546">
      <w:rPr>
        <w:b/>
        <w:bCs/>
        <w:sz w:val="20"/>
      </w:rPr>
      <w:t>Umsetzungstipps UZ 301 Schulen und PH</w:t>
    </w:r>
    <w:r>
      <w:rPr>
        <w:sz w:val="16"/>
      </w:rPr>
      <w:tab/>
    </w:r>
  </w:p>
  <w:p w:rsidR="00EA2299" w:rsidRDefault="00EA2299">
    <w:pPr>
      <w:pStyle w:val="Kopfzeile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621562">
      <w:rPr>
        <w:noProof/>
        <w:sz w:val="16"/>
      </w:rPr>
      <w:t>E11_Rich</w:t>
    </w:r>
    <w:r w:rsidR="00762CE3">
      <w:rPr>
        <w:noProof/>
        <w:sz w:val="16"/>
      </w:rPr>
      <w:t>twerte_Raumtemperatur_Uz301-</w:t>
    </w:r>
    <w:r w:rsidR="00621562">
      <w:rPr>
        <w:noProof/>
        <w:sz w:val="16"/>
      </w:rPr>
      <w:t>.docx</w:t>
    </w:r>
    <w:r>
      <w:rPr>
        <w:sz w:val="16"/>
      </w:rPr>
      <w:fldChar w:fldCharType="end"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14"/>
    <w:rsid w:val="00110546"/>
    <w:rsid w:val="00163BC5"/>
    <w:rsid w:val="002A3DFC"/>
    <w:rsid w:val="00621562"/>
    <w:rsid w:val="00762CE3"/>
    <w:rsid w:val="009828D2"/>
    <w:rsid w:val="009C4801"/>
    <w:rsid w:val="00B67E9E"/>
    <w:rsid w:val="00C45456"/>
    <w:rsid w:val="00D34D44"/>
    <w:rsid w:val="00DC0415"/>
    <w:rsid w:val="00E34B14"/>
    <w:rsid w:val="00E7513A"/>
    <w:rsid w:val="00EA2299"/>
    <w:rsid w:val="00F6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329F9F1-9942-4B29-98C4-F5129026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customStyle="1" w:styleId="Text2cm10pt">
    <w:name w:val="Text_2cm_10pt"/>
    <w:basedOn w:val="Standard"/>
    <w:pPr>
      <w:spacing w:before="120" w:after="0" w:line="260" w:lineRule="atLeast"/>
      <w:ind w:left="1134"/>
    </w:pPr>
    <w:rPr>
      <w:sz w:val="20"/>
      <w:lang w:val="de-AT"/>
    </w:rPr>
  </w:style>
  <w:style w:type="table" w:styleId="Tabellenraster">
    <w:name w:val="Table Grid"/>
    <w:basedOn w:val="NormaleTabelle"/>
    <w:rsid w:val="00EA2299"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3F0137D6.dotm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Beleuchtungsstärken im Schulbau</vt:lpstr>
    </vt:vector>
  </TitlesOfParts>
  <Company>vki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Beleuchtungsstärken im Schulbau</dc:title>
  <dc:creator>Ziehmayer Daniela</dc:creator>
  <cp:lastModifiedBy>Dermutz Arno</cp:lastModifiedBy>
  <cp:revision>6</cp:revision>
  <cp:lastPrinted>2005-04-17T14:29:00Z</cp:lastPrinted>
  <dcterms:created xsi:type="dcterms:W3CDTF">2014-08-31T16:54:00Z</dcterms:created>
  <dcterms:modified xsi:type="dcterms:W3CDTF">2018-11-19T11:27:00Z</dcterms:modified>
</cp:coreProperties>
</file>